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ar1"/>
      <w:bookmarkEnd w:id="0"/>
      <w:r w:rsidRPr="0071144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6638" w:rsidRPr="00711449" w:rsidRDefault="00711449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ГОРОДНОВСКОГО   </w:t>
      </w:r>
      <w:r w:rsidR="00626638" w:rsidRPr="0071144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1449">
        <w:rPr>
          <w:rFonts w:ascii="Arial" w:hAnsi="Arial" w:cs="Arial"/>
          <w:b/>
          <w:sz w:val="32"/>
          <w:szCs w:val="32"/>
        </w:rPr>
        <w:t>Железногорского   района    Курской  области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11449">
        <w:rPr>
          <w:rFonts w:ascii="Arial" w:hAnsi="Arial" w:cs="Arial"/>
          <w:b/>
          <w:sz w:val="32"/>
          <w:szCs w:val="32"/>
        </w:rPr>
        <w:t>П</w:t>
      </w:r>
      <w:proofErr w:type="gramEnd"/>
      <w:r w:rsidRPr="0071144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26638" w:rsidRPr="00711449" w:rsidRDefault="00626638" w:rsidP="007114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626638" w:rsidRPr="00711449" w:rsidRDefault="00626638" w:rsidP="007114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626638" w:rsidRPr="00711449" w:rsidRDefault="00711449" w:rsidP="007114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r w:rsidR="00626638" w:rsidRPr="00711449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20 апреля 2023 г. №23</w:t>
      </w:r>
    </w:p>
    <w:p w:rsidR="00626638" w:rsidRPr="00711449" w:rsidRDefault="00626638" w:rsidP="0071144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626638" w:rsidRPr="00711449" w:rsidRDefault="00626638" w:rsidP="0071144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26638" w:rsidRPr="00711449" w:rsidRDefault="00626638" w:rsidP="0071144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11449">
        <w:rPr>
          <w:rFonts w:ascii="Arial" w:hAnsi="Arial" w:cs="Arial"/>
          <w:b/>
          <w:sz w:val="32"/>
          <w:szCs w:val="32"/>
        </w:rPr>
        <w:t>О создании рабочей группы</w:t>
      </w:r>
    </w:p>
    <w:p w:rsidR="00626638" w:rsidRPr="00711449" w:rsidRDefault="00626638" w:rsidP="0071144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11449">
        <w:rPr>
          <w:rFonts w:ascii="Arial" w:hAnsi="Arial" w:cs="Arial"/>
          <w:b/>
          <w:sz w:val="32"/>
          <w:szCs w:val="32"/>
        </w:rPr>
        <w:t>по выявлению, учету и контролю</w:t>
      </w:r>
    </w:p>
    <w:p w:rsidR="00626638" w:rsidRPr="00711449" w:rsidRDefault="00626638" w:rsidP="0071144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11449">
        <w:rPr>
          <w:rFonts w:ascii="Arial" w:hAnsi="Arial" w:cs="Arial"/>
          <w:b/>
          <w:sz w:val="32"/>
          <w:szCs w:val="32"/>
        </w:rPr>
        <w:t>за заброшенными домами, зданиями и строениями</w:t>
      </w:r>
    </w:p>
    <w:p w:rsidR="00626638" w:rsidRPr="00711449" w:rsidRDefault="00626638" w:rsidP="00711449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26638" w:rsidRPr="00711449" w:rsidRDefault="00626638" w:rsidP="0071144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1449">
        <w:rPr>
          <w:rFonts w:ascii="Arial" w:hAnsi="Arial" w:cs="Arial"/>
          <w:sz w:val="24"/>
          <w:szCs w:val="24"/>
        </w:rPr>
        <w:t>В целях принятия мер, направленных на обеспечение безопасности жизни и здоровья граждан, исключения возможности пребывания посторонних лиц в неиспользуемом жилищном фонде и промышленных сооружениях, а также обеспечения прав граждан на благоприятную среду обитания, создания здоровых и культурных условий жизни населения на территории муниципального образования «Городновский сельсовет» Железногорского района, руководствуясь ст. 15 Федерального закона от 06.10.2003 №131-ФЗ «Об общих принципах организации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Уставом муниципального образования «Городновский сельсовет» Железногорского района Курской области, администрация Городновского сельсовета Железногорского района Курской области </w:t>
      </w:r>
    </w:p>
    <w:p w:rsidR="00626638" w:rsidRPr="00711449" w:rsidRDefault="00626638" w:rsidP="007114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ПОСТАНОВЛЯЕТ:</w:t>
      </w:r>
    </w:p>
    <w:p w:rsidR="00626638" w:rsidRPr="00711449" w:rsidRDefault="00626638" w:rsidP="00711449">
      <w:pPr>
        <w:tabs>
          <w:tab w:val="num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1. Создать рабочую группу по выявлению, учету и </w:t>
      </w:r>
      <w:proofErr w:type="gramStart"/>
      <w:r w:rsidRPr="00711449">
        <w:rPr>
          <w:rFonts w:ascii="Arial" w:hAnsi="Arial" w:cs="Arial"/>
          <w:sz w:val="24"/>
          <w:szCs w:val="24"/>
        </w:rPr>
        <w:t>контролю за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муниципального образования «Городновский сельсовет» Железногорского района, согласно приложению № 1.</w:t>
      </w:r>
    </w:p>
    <w:p w:rsidR="00626638" w:rsidRPr="00711449" w:rsidRDefault="00626638" w:rsidP="00711449">
      <w:pPr>
        <w:tabs>
          <w:tab w:val="num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2. Утвердить Положение о рабочей группе по выявлению, учету и контролю за заброшенными жилыми домами, зданиями и строениями </w:t>
      </w:r>
      <w:proofErr w:type="gramStart"/>
      <w:r w:rsidRPr="00711449">
        <w:rPr>
          <w:rFonts w:ascii="Arial" w:hAnsi="Arial" w:cs="Arial"/>
          <w:sz w:val="24"/>
          <w:szCs w:val="24"/>
        </w:rPr>
        <w:t>на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44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образования «Городновский сельсовет» Железногорского района, согласно приложению №2.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3. Рабочей группе в целях повышения безопасности населенных пунктов муниципального образования «Городновский сельсовет» Железногорского района: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3.1. С 20.04.2023 г. по 30.05.2023 г. организовать работу по выявлению, учету и </w:t>
      </w:r>
      <w:proofErr w:type="gramStart"/>
      <w:r w:rsidRPr="00711449">
        <w:rPr>
          <w:rFonts w:ascii="Arial" w:hAnsi="Arial" w:cs="Arial"/>
          <w:sz w:val="24"/>
          <w:szCs w:val="24"/>
        </w:rPr>
        <w:t>контролю за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муниципального образования «Городновский сельсовет» Железногорского района;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lastRenderedPageBreak/>
        <w:t>3.2.Утвердить форму реестра заброшенных жилых домов, зданий и строений на территории муниципального образования «Городновский сельсовет» Железногорского района, согласно приложению №3.</w:t>
      </w:r>
    </w:p>
    <w:p w:rsidR="00626638" w:rsidRPr="00711449" w:rsidRDefault="00626638" w:rsidP="00711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 Срок предоставления отчета о проведенных мероприятиях в администрацию Железногорского  района – 31.05.2023 г.</w:t>
      </w:r>
    </w:p>
    <w:p w:rsidR="00626638" w:rsidRPr="00711449" w:rsidRDefault="00626638" w:rsidP="00711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5. Ответственным лицом за ведение реестра заброшенных жилых домов, зданий и строений на территории муниципального образования «Городновский сельсовет» Железногорского района назначить заместителя главы администрации Городновского сельсовета Рыбкину Л.Н.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6. Обнародовать настоящее постановление и </w:t>
      </w:r>
      <w:proofErr w:type="gramStart"/>
      <w:r w:rsidRPr="00711449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на официальном сайте администрации Городновского сельсовета Железногорского района в сети Интернет.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7114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144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Глава  Городновского сельсовета   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Железногорского райо</w:t>
      </w:r>
      <w:r w:rsidR="00C101D2" w:rsidRPr="00711449">
        <w:rPr>
          <w:rFonts w:ascii="Arial" w:hAnsi="Arial" w:cs="Arial"/>
          <w:sz w:val="24"/>
          <w:szCs w:val="24"/>
        </w:rPr>
        <w:t xml:space="preserve">на                           </w:t>
      </w:r>
      <w:r w:rsidRPr="00711449">
        <w:rPr>
          <w:rFonts w:ascii="Arial" w:hAnsi="Arial" w:cs="Arial"/>
          <w:sz w:val="24"/>
          <w:szCs w:val="24"/>
        </w:rPr>
        <w:t xml:space="preserve">                                        А.Н. Троянов</w:t>
      </w: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626638" w:rsidRPr="00711449" w:rsidRDefault="00626638" w:rsidP="007114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Приложение № 1</w:t>
      </w:r>
    </w:p>
    <w:p w:rsidR="00626638" w:rsidRPr="00711449" w:rsidRDefault="00626638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Железногорского района</w:t>
      </w:r>
    </w:p>
    <w:p w:rsidR="00626638" w:rsidRPr="00711449" w:rsidRDefault="00626638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от 20 апреля 2023</w:t>
      </w:r>
      <w:r w:rsidR="0048048F" w:rsidRPr="00711449">
        <w:rPr>
          <w:rFonts w:ascii="Arial" w:hAnsi="Arial" w:cs="Arial"/>
          <w:sz w:val="24"/>
          <w:szCs w:val="24"/>
        </w:rPr>
        <w:t xml:space="preserve"> г.</w:t>
      </w:r>
      <w:r w:rsidRPr="00711449">
        <w:rPr>
          <w:rFonts w:ascii="Arial" w:hAnsi="Arial" w:cs="Arial"/>
          <w:sz w:val="24"/>
          <w:szCs w:val="24"/>
        </w:rPr>
        <w:t xml:space="preserve"> № 20</w:t>
      </w:r>
    </w:p>
    <w:p w:rsidR="00626638" w:rsidRPr="00711449" w:rsidRDefault="00626638" w:rsidP="00711449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1449">
        <w:rPr>
          <w:rFonts w:ascii="Arial" w:hAnsi="Arial" w:cs="Arial"/>
          <w:b/>
          <w:sz w:val="30"/>
          <w:szCs w:val="30"/>
        </w:rPr>
        <w:t>СОСТАВ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11449">
        <w:rPr>
          <w:rFonts w:ascii="Arial" w:hAnsi="Arial" w:cs="Arial"/>
          <w:b/>
          <w:sz w:val="30"/>
          <w:szCs w:val="30"/>
        </w:rPr>
        <w:t xml:space="preserve">рабочей группы по выявлению, учету и </w:t>
      </w:r>
      <w:proofErr w:type="gramStart"/>
      <w:r w:rsidRPr="00711449">
        <w:rPr>
          <w:rFonts w:ascii="Arial" w:hAnsi="Arial" w:cs="Arial"/>
          <w:b/>
          <w:sz w:val="30"/>
          <w:szCs w:val="30"/>
        </w:rPr>
        <w:t>контролю за</w:t>
      </w:r>
      <w:proofErr w:type="gramEnd"/>
      <w:r w:rsidRPr="00711449">
        <w:rPr>
          <w:rFonts w:ascii="Arial" w:hAnsi="Arial" w:cs="Arial"/>
          <w:b/>
          <w:sz w:val="30"/>
          <w:szCs w:val="30"/>
        </w:rPr>
        <w:t xml:space="preserve"> заброшенными жилыми домами, зданиями и строениями на территории муниципального образования «Городновский сельсовет» Железногорского района</w:t>
      </w:r>
    </w:p>
    <w:p w:rsidR="00626638" w:rsidRPr="00711449" w:rsidRDefault="00626638" w:rsidP="00711449">
      <w:pPr>
        <w:keepLine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6638" w:rsidRPr="00711449" w:rsidRDefault="00626638" w:rsidP="00711449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711449">
        <w:rPr>
          <w:rFonts w:ascii="Arial" w:hAnsi="Arial" w:cs="Arial"/>
          <w:color w:val="000000"/>
        </w:rPr>
        <w:t xml:space="preserve">председатель рабочей группы:  </w:t>
      </w:r>
    </w:p>
    <w:p w:rsidR="00626638" w:rsidRPr="00711449" w:rsidRDefault="00626638" w:rsidP="0071144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Троянов А.Н. –      глава Городновского сельсовета Железногорского района;</w:t>
      </w:r>
    </w:p>
    <w:p w:rsidR="00626638" w:rsidRPr="00711449" w:rsidRDefault="00626638" w:rsidP="00711449">
      <w:pPr>
        <w:pStyle w:val="text3cl"/>
        <w:spacing w:before="0" w:after="0"/>
        <w:jc w:val="both"/>
        <w:rPr>
          <w:rFonts w:ascii="Arial" w:hAnsi="Arial" w:cs="Arial"/>
          <w:color w:val="000000"/>
        </w:rPr>
      </w:pPr>
    </w:p>
    <w:p w:rsidR="00626638" w:rsidRPr="00711449" w:rsidRDefault="00626638" w:rsidP="00711449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711449">
        <w:rPr>
          <w:rFonts w:ascii="Arial" w:hAnsi="Arial" w:cs="Arial"/>
          <w:color w:val="000000"/>
        </w:rPr>
        <w:t>секретарь рабочей группы:</w:t>
      </w:r>
    </w:p>
    <w:p w:rsidR="00626638" w:rsidRPr="00711449" w:rsidRDefault="00626638" w:rsidP="007114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Рыбкина Л.Н.– заместитель главы администрации Городновского сельсовета;</w:t>
      </w:r>
    </w:p>
    <w:p w:rsidR="00626638" w:rsidRPr="00711449" w:rsidRDefault="00626638" w:rsidP="00711449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26638" w:rsidRPr="00711449" w:rsidRDefault="00626638" w:rsidP="00711449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11449">
        <w:rPr>
          <w:rFonts w:ascii="Arial" w:hAnsi="Arial" w:cs="Arial"/>
          <w:color w:val="000000"/>
          <w:sz w:val="24"/>
          <w:szCs w:val="24"/>
        </w:rPr>
        <w:t>члены рабочей группы:</w:t>
      </w:r>
    </w:p>
    <w:p w:rsidR="00626638" w:rsidRPr="00711449" w:rsidRDefault="00626638" w:rsidP="00711449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Кравцова О.М.– начальник финансового </w:t>
      </w:r>
      <w:proofErr w:type="spellStart"/>
      <w:proofErr w:type="gramStart"/>
      <w:r w:rsidRPr="00711449">
        <w:rPr>
          <w:rFonts w:ascii="Arial" w:hAnsi="Arial" w:cs="Arial"/>
          <w:sz w:val="24"/>
          <w:szCs w:val="24"/>
        </w:rPr>
        <w:t>отдела-главный</w:t>
      </w:r>
      <w:proofErr w:type="spellEnd"/>
      <w:proofErr w:type="gramEnd"/>
      <w:r w:rsidRPr="00711449">
        <w:rPr>
          <w:rFonts w:ascii="Arial" w:hAnsi="Arial" w:cs="Arial"/>
          <w:sz w:val="24"/>
          <w:szCs w:val="24"/>
        </w:rPr>
        <w:t xml:space="preserve"> бухгалтер администрации Городновского сельсовета;</w:t>
      </w:r>
    </w:p>
    <w:p w:rsidR="00626638" w:rsidRPr="00711449" w:rsidRDefault="00626638" w:rsidP="00711449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Куликова Т.И.– председатель</w:t>
      </w:r>
      <w:r w:rsidR="0048048F" w:rsidRPr="00711449">
        <w:rPr>
          <w:rFonts w:ascii="Arial" w:hAnsi="Arial" w:cs="Arial"/>
          <w:sz w:val="24"/>
          <w:szCs w:val="24"/>
        </w:rPr>
        <w:t xml:space="preserve"> С</w:t>
      </w:r>
      <w:r w:rsidRPr="00711449">
        <w:rPr>
          <w:rFonts w:ascii="Arial" w:hAnsi="Arial" w:cs="Arial"/>
          <w:sz w:val="24"/>
          <w:szCs w:val="24"/>
        </w:rPr>
        <w:t xml:space="preserve">обрания депутатов </w:t>
      </w:r>
      <w:r w:rsidR="0048048F" w:rsidRPr="00711449">
        <w:rPr>
          <w:rFonts w:ascii="Arial" w:hAnsi="Arial" w:cs="Arial"/>
          <w:sz w:val="24"/>
          <w:szCs w:val="24"/>
        </w:rPr>
        <w:t>Городновского сельсовета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br w:type="page"/>
      </w:r>
    </w:p>
    <w:p w:rsidR="00626638" w:rsidRPr="00711449" w:rsidRDefault="00626638" w:rsidP="00711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101D2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Железногорского района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от 20 апреля 2023 г. № 20</w:t>
      </w: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1449">
        <w:rPr>
          <w:rFonts w:ascii="Arial" w:hAnsi="Arial" w:cs="Arial"/>
          <w:b/>
          <w:sz w:val="30"/>
          <w:szCs w:val="30"/>
        </w:rPr>
        <w:t>ПОЛОЖЕНИЕ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11449">
        <w:rPr>
          <w:rFonts w:ascii="Arial" w:hAnsi="Arial" w:cs="Arial"/>
          <w:b/>
          <w:sz w:val="30"/>
          <w:szCs w:val="30"/>
        </w:rPr>
        <w:t xml:space="preserve">о рабочей группе по выявлению, учету и контролю за заброшенными жилыми, зданиями и строениями на территории </w:t>
      </w:r>
      <w:r w:rsidR="0048048F" w:rsidRPr="00711449">
        <w:rPr>
          <w:rFonts w:ascii="Arial" w:hAnsi="Arial" w:cs="Arial"/>
          <w:b/>
          <w:sz w:val="30"/>
          <w:szCs w:val="30"/>
        </w:rPr>
        <w:t>муниципального образования «Городновский сельсовет» Железногорского района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11449">
        <w:rPr>
          <w:rFonts w:ascii="Arial" w:hAnsi="Arial" w:cs="Arial"/>
          <w:b/>
          <w:sz w:val="28"/>
          <w:szCs w:val="28"/>
        </w:rPr>
        <w:t>Общие положения</w:t>
      </w: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48048F" w:rsidP="0071144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1449">
        <w:rPr>
          <w:rFonts w:ascii="Arial" w:hAnsi="Arial" w:cs="Arial"/>
          <w:sz w:val="24"/>
          <w:szCs w:val="24"/>
        </w:rPr>
        <w:t>Рабочую группу</w:t>
      </w:r>
      <w:r w:rsidR="00626638" w:rsidRPr="00711449">
        <w:rPr>
          <w:rFonts w:ascii="Arial" w:hAnsi="Arial" w:cs="Arial"/>
          <w:sz w:val="24"/>
          <w:szCs w:val="24"/>
        </w:rPr>
        <w:t xml:space="preserve"> по выявлению, учету и контролю за заброшенными жилыми домами, зданиями и строениями на территории </w:t>
      </w:r>
      <w:r w:rsidRPr="00711449">
        <w:rPr>
          <w:rFonts w:ascii="Arial" w:hAnsi="Arial" w:cs="Arial"/>
          <w:sz w:val="24"/>
          <w:szCs w:val="24"/>
        </w:rPr>
        <w:t>муниципального образования «Городновский сельсовет» Железногорского района в целях повышения безопасности населенных пунктов муниципального образования «Городновский сельсовет» Железногорского района, осуществления надзора в сфере учета и безопасности ветхих, заброшенных домов, строений и сооружений возглавляет глава</w:t>
      </w:r>
      <w:r w:rsidR="00626638" w:rsidRPr="00711449">
        <w:rPr>
          <w:rFonts w:ascii="Arial" w:hAnsi="Arial" w:cs="Arial"/>
          <w:sz w:val="24"/>
          <w:szCs w:val="24"/>
        </w:rPr>
        <w:t xml:space="preserve"> </w:t>
      </w:r>
      <w:r w:rsidRPr="00711449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="00626638" w:rsidRPr="00711449">
        <w:rPr>
          <w:rFonts w:ascii="Arial" w:hAnsi="Arial" w:cs="Arial"/>
          <w:sz w:val="24"/>
          <w:szCs w:val="24"/>
        </w:rPr>
        <w:t>.</w:t>
      </w:r>
      <w:proofErr w:type="gramEnd"/>
    </w:p>
    <w:p w:rsidR="00626638" w:rsidRPr="00711449" w:rsidRDefault="00626638" w:rsidP="0071144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Состав рабочей группы утверждается постановлением администрации </w:t>
      </w:r>
      <w:r w:rsidR="0048048F" w:rsidRPr="00711449">
        <w:rPr>
          <w:rFonts w:ascii="Arial" w:hAnsi="Arial" w:cs="Arial"/>
          <w:sz w:val="24"/>
          <w:szCs w:val="24"/>
        </w:rPr>
        <w:t>Городновского сельсовета Железногорского района.</w:t>
      </w: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11449">
        <w:rPr>
          <w:rFonts w:ascii="Arial" w:hAnsi="Arial" w:cs="Arial"/>
          <w:b/>
          <w:sz w:val="28"/>
          <w:szCs w:val="28"/>
        </w:rPr>
        <w:t>Основные задачи и функции рабочей группы</w:t>
      </w:r>
    </w:p>
    <w:p w:rsidR="00C101D2" w:rsidRPr="00711449" w:rsidRDefault="00C101D2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48048F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2.1.</w:t>
      </w:r>
      <w:r w:rsidR="00626638" w:rsidRPr="00711449">
        <w:rPr>
          <w:rFonts w:ascii="Arial" w:hAnsi="Arial" w:cs="Arial"/>
          <w:sz w:val="24"/>
          <w:szCs w:val="24"/>
        </w:rPr>
        <w:t xml:space="preserve"> Выявление ветхих, заброшенн</w:t>
      </w:r>
      <w:r w:rsidRPr="00711449">
        <w:rPr>
          <w:rFonts w:ascii="Arial" w:hAnsi="Arial" w:cs="Arial"/>
          <w:sz w:val="24"/>
          <w:szCs w:val="24"/>
        </w:rPr>
        <w:t>ых домов, строений и сооружений.</w:t>
      </w:r>
    </w:p>
    <w:p w:rsidR="0048048F" w:rsidRPr="00711449" w:rsidRDefault="0048048F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2.2.</w:t>
      </w:r>
      <w:r w:rsidR="00626638" w:rsidRPr="00711449">
        <w:rPr>
          <w:rFonts w:ascii="Arial" w:hAnsi="Arial" w:cs="Arial"/>
          <w:sz w:val="24"/>
          <w:szCs w:val="24"/>
        </w:rPr>
        <w:t xml:space="preserve"> Составление реестра заброшенных жилых домов, зданий и строений на территории </w:t>
      </w:r>
      <w:r w:rsidRPr="00711449">
        <w:rPr>
          <w:rFonts w:ascii="Arial" w:hAnsi="Arial" w:cs="Arial"/>
          <w:sz w:val="24"/>
          <w:szCs w:val="24"/>
        </w:rPr>
        <w:t>муниципального образования «Городновский сельсовет» Железногорского района</w:t>
      </w:r>
      <w:r w:rsidR="00626638" w:rsidRPr="00711449">
        <w:rPr>
          <w:rFonts w:ascii="Arial" w:hAnsi="Arial" w:cs="Arial"/>
          <w:sz w:val="24"/>
          <w:szCs w:val="24"/>
        </w:rPr>
        <w:t>»</w:t>
      </w:r>
      <w:r w:rsidRPr="00711449">
        <w:rPr>
          <w:rFonts w:ascii="Arial" w:hAnsi="Arial" w:cs="Arial"/>
          <w:sz w:val="24"/>
          <w:szCs w:val="24"/>
        </w:rPr>
        <w:t>.</w:t>
      </w:r>
    </w:p>
    <w:p w:rsidR="00626638" w:rsidRPr="00711449" w:rsidRDefault="0048048F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2.3.</w:t>
      </w:r>
      <w:r w:rsidR="00626638" w:rsidRPr="00711449">
        <w:rPr>
          <w:rFonts w:ascii="Arial" w:hAnsi="Arial" w:cs="Arial"/>
          <w:sz w:val="24"/>
          <w:szCs w:val="24"/>
        </w:rPr>
        <w:t xml:space="preserve">Организация работы по сбору документов для органов регистрации для принятия на учет бесхозяйного недвижимого имущества, которое не имеет собственников или собственники которого неизвестны, либо от права </w:t>
      </w:r>
      <w:proofErr w:type="gramStart"/>
      <w:r w:rsidR="00626638" w:rsidRPr="00711449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626638" w:rsidRPr="00711449">
        <w:rPr>
          <w:rFonts w:ascii="Arial" w:hAnsi="Arial" w:cs="Arial"/>
          <w:sz w:val="24"/>
          <w:szCs w:val="24"/>
        </w:rPr>
        <w:t xml:space="preserve"> на которое собственник отказался в порядке, пр</w:t>
      </w:r>
      <w:r w:rsidRPr="00711449">
        <w:rPr>
          <w:rFonts w:ascii="Arial" w:hAnsi="Arial" w:cs="Arial"/>
          <w:sz w:val="24"/>
          <w:szCs w:val="24"/>
        </w:rPr>
        <w:t>едусмотренном ст.225, 226 ГК РФ.</w:t>
      </w:r>
    </w:p>
    <w:p w:rsidR="00626638" w:rsidRPr="00711449" w:rsidRDefault="0048048F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2.4.</w:t>
      </w:r>
      <w:r w:rsidR="00626638" w:rsidRPr="00711449">
        <w:rPr>
          <w:rFonts w:ascii="Arial" w:hAnsi="Arial" w:cs="Arial"/>
          <w:sz w:val="24"/>
          <w:szCs w:val="24"/>
        </w:rPr>
        <w:t>Определение возможности дальнейшей экс</w:t>
      </w:r>
      <w:r w:rsidRPr="00711449">
        <w:rPr>
          <w:rFonts w:ascii="Arial" w:hAnsi="Arial" w:cs="Arial"/>
          <w:sz w:val="24"/>
          <w:szCs w:val="24"/>
        </w:rPr>
        <w:t>плуатации недвижимого имущества.</w:t>
      </w:r>
    </w:p>
    <w:p w:rsidR="00626638" w:rsidRPr="00711449" w:rsidRDefault="0048048F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2.5.</w:t>
      </w:r>
      <w:r w:rsidR="00626638" w:rsidRPr="00711449">
        <w:rPr>
          <w:rFonts w:ascii="Arial" w:hAnsi="Arial" w:cs="Arial"/>
          <w:sz w:val="24"/>
          <w:szCs w:val="24"/>
        </w:rPr>
        <w:t>Проверка наличия объекта в реестре муниципальной, областной, федеральной собственности</w:t>
      </w:r>
      <w:r w:rsidRPr="00711449">
        <w:rPr>
          <w:rFonts w:ascii="Arial" w:hAnsi="Arial" w:cs="Arial"/>
          <w:sz w:val="24"/>
          <w:szCs w:val="24"/>
        </w:rPr>
        <w:t>.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6638" w:rsidRPr="00711449" w:rsidRDefault="00626638" w:rsidP="0071144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11449">
        <w:rPr>
          <w:rFonts w:ascii="Arial" w:hAnsi="Arial" w:cs="Arial"/>
          <w:b/>
          <w:sz w:val="28"/>
          <w:szCs w:val="28"/>
        </w:rPr>
        <w:t>Права рабочей группы</w:t>
      </w: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Рабочая группа в пределах своей компетенции имеет право</w:t>
      </w:r>
      <w:r w:rsidR="00C101D2" w:rsidRPr="00711449">
        <w:rPr>
          <w:rFonts w:ascii="Arial" w:hAnsi="Arial" w:cs="Arial"/>
          <w:sz w:val="24"/>
          <w:szCs w:val="24"/>
        </w:rPr>
        <w:t xml:space="preserve"> в</w:t>
      </w:r>
      <w:r w:rsidRPr="00711449">
        <w:rPr>
          <w:rFonts w:ascii="Arial" w:hAnsi="Arial" w:cs="Arial"/>
          <w:sz w:val="24"/>
          <w:szCs w:val="24"/>
        </w:rPr>
        <w:t xml:space="preserve"> установленном порядке получать от граждан, предприятий, учреждений и организаций, расположенных в районе, необходимую документацию о наличии (отсутствии) в бесхозных объектах недвижимости зарегистрированных граждан, </w:t>
      </w:r>
      <w:r w:rsidRPr="00711449">
        <w:rPr>
          <w:rFonts w:ascii="Arial" w:hAnsi="Arial" w:cs="Arial"/>
          <w:sz w:val="24"/>
          <w:szCs w:val="24"/>
        </w:rPr>
        <w:lastRenderedPageBreak/>
        <w:t>имевших место чрезвычайных ситуациях (пожарах, затоплениях и т.д.) противоправных деяниях и преступлениях.</w:t>
      </w:r>
    </w:p>
    <w:p w:rsidR="00626638" w:rsidRPr="00711449" w:rsidRDefault="00626638" w:rsidP="00711449">
      <w:pPr>
        <w:tabs>
          <w:tab w:val="left" w:pos="1026"/>
          <w:tab w:val="left" w:pos="1083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              </w:t>
      </w:r>
    </w:p>
    <w:p w:rsidR="00626638" w:rsidRPr="00711449" w:rsidRDefault="00626638" w:rsidP="0071144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26638" w:rsidRPr="00711449" w:rsidRDefault="00626638" w:rsidP="0071144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11449">
        <w:rPr>
          <w:rFonts w:ascii="Arial" w:hAnsi="Arial" w:cs="Arial"/>
          <w:b/>
          <w:sz w:val="28"/>
          <w:szCs w:val="28"/>
        </w:rPr>
        <w:t>Организация деятельности рабочей группы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4.1 Рабочую группу возглавляет п</w:t>
      </w:r>
      <w:r w:rsidR="00C101D2" w:rsidRPr="00711449">
        <w:rPr>
          <w:rFonts w:ascii="Arial" w:hAnsi="Arial" w:cs="Arial"/>
          <w:sz w:val="24"/>
          <w:szCs w:val="24"/>
        </w:rPr>
        <w:t xml:space="preserve">редседатель, являющийся главой </w:t>
      </w:r>
      <w:r w:rsidR="0048048F" w:rsidRPr="00711449">
        <w:rPr>
          <w:rFonts w:ascii="Arial" w:hAnsi="Arial" w:cs="Arial"/>
          <w:sz w:val="24"/>
          <w:szCs w:val="24"/>
        </w:rPr>
        <w:t>Городновского сельсовета Железногорского района.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4.2. Заседания рабочей группы проводятся по мере необходимости, но не реже одного раза в месяц.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4.3. Организационное обеспечение деятельности рабочей группы, подготовку ма</w:t>
      </w:r>
      <w:r w:rsidR="0048048F" w:rsidRPr="00711449">
        <w:rPr>
          <w:rFonts w:ascii="Arial" w:hAnsi="Arial" w:cs="Arial"/>
          <w:sz w:val="24"/>
          <w:szCs w:val="24"/>
        </w:rPr>
        <w:t>териалов осуществляет секретарь, который и</w:t>
      </w:r>
      <w:r w:rsidRPr="00711449">
        <w:rPr>
          <w:rFonts w:ascii="Arial" w:hAnsi="Arial" w:cs="Arial"/>
          <w:sz w:val="24"/>
          <w:szCs w:val="24"/>
        </w:rPr>
        <w:t>звещает членов рабочей группы о повестке для предстоящего заседания.</w:t>
      </w:r>
    </w:p>
    <w:p w:rsidR="00626638" w:rsidRPr="00711449" w:rsidRDefault="00626638" w:rsidP="00711449">
      <w:pPr>
        <w:tabs>
          <w:tab w:val="left" w:pos="969"/>
          <w:tab w:val="left" w:pos="108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4.4. 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 w:rsidR="00626638" w:rsidRPr="00711449" w:rsidRDefault="00626638" w:rsidP="00711449">
      <w:pPr>
        <w:tabs>
          <w:tab w:val="left" w:pos="912"/>
          <w:tab w:val="left" w:pos="969"/>
          <w:tab w:val="left" w:pos="108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4.5. На время отсутствия председателя рабочей группы его обязанности исполняет заместитель, на время отсутствия других членов – лица, их замещающие, на основании подтверждающих документов.</w:t>
      </w:r>
    </w:p>
    <w:p w:rsidR="00626638" w:rsidRPr="00711449" w:rsidRDefault="00626638" w:rsidP="00711449">
      <w:pPr>
        <w:tabs>
          <w:tab w:val="left" w:pos="10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4.6. 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2 настоящего распоряжения Член рабочей группы представляет копии документов, подтверждающих правомерность его присутствия.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4.7. Решение рабочей группы принимается открытым голосованием, простым большинством голосов от общего числа членов комиссии, присутствующих на заседании.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В случае равенства голосов, председатель рабочей группы имеет право решающего голоса.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4.8. Решение рабочей группы должно быть изложено в письменной форме, мотивировано и оформлено протоколом.</w:t>
      </w:r>
    </w:p>
    <w:p w:rsidR="00626638" w:rsidRPr="00711449" w:rsidRDefault="00626638" w:rsidP="00711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4.9. Рабочая группа несет ответственность за невыполнение функций и обязанностей, предусмотренных настоящим положением.</w:t>
      </w: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Приложение № 3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101D2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Железногорского района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от 20 апреля 2023 г. № 20</w:t>
      </w:r>
    </w:p>
    <w:p w:rsidR="0048048F" w:rsidRPr="00711449" w:rsidRDefault="0048048F" w:rsidP="00711449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1449">
        <w:rPr>
          <w:rFonts w:ascii="Arial" w:hAnsi="Arial" w:cs="Arial"/>
          <w:sz w:val="24"/>
          <w:szCs w:val="24"/>
        </w:rPr>
        <w:t>Форма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711449" w:rsidRDefault="00C101D2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11449">
        <w:rPr>
          <w:rFonts w:ascii="Arial" w:hAnsi="Arial" w:cs="Arial"/>
          <w:sz w:val="30"/>
          <w:szCs w:val="30"/>
        </w:rPr>
        <w:t>Реестр</w:t>
      </w:r>
      <w:r w:rsidR="0048048F" w:rsidRPr="00711449">
        <w:rPr>
          <w:rFonts w:ascii="Arial" w:hAnsi="Arial" w:cs="Arial"/>
          <w:sz w:val="30"/>
          <w:szCs w:val="30"/>
        </w:rPr>
        <w:t xml:space="preserve"> 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11449">
        <w:rPr>
          <w:rFonts w:ascii="Arial" w:hAnsi="Arial" w:cs="Arial"/>
          <w:sz w:val="30"/>
          <w:szCs w:val="30"/>
        </w:rPr>
        <w:t>заброшенных жилых домов, зданий и строений на территории</w:t>
      </w:r>
    </w:p>
    <w:p w:rsidR="00626638" w:rsidRPr="00711449" w:rsidRDefault="0048048F" w:rsidP="0071144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11449">
        <w:rPr>
          <w:rFonts w:ascii="Arial" w:hAnsi="Arial" w:cs="Arial"/>
          <w:sz w:val="30"/>
          <w:szCs w:val="30"/>
        </w:rPr>
        <w:t>муниципального образования «Городновский сельсовет» Железногорского района</w:t>
      </w: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371"/>
        <w:gridCol w:w="1866"/>
        <w:gridCol w:w="1867"/>
      </w:tblGrid>
      <w:tr w:rsidR="00626638" w:rsidRPr="00711449" w:rsidTr="00B93FEE"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4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14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14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>Адрес местонахождения заброшенного ОКС</w:t>
            </w:r>
          </w:p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 xml:space="preserve">Статус ОКС (ИЖД, нежилое здание – </w:t>
            </w:r>
            <w:proofErr w:type="spellStart"/>
            <w:r w:rsidRPr="00711449">
              <w:rPr>
                <w:rFonts w:ascii="Arial" w:hAnsi="Arial" w:cs="Arial"/>
                <w:sz w:val="24"/>
                <w:szCs w:val="24"/>
              </w:rPr>
              <w:t>адм.зд</w:t>
            </w:r>
            <w:proofErr w:type="spellEnd"/>
            <w:r w:rsidRPr="00711449">
              <w:rPr>
                <w:rFonts w:ascii="Arial" w:hAnsi="Arial" w:cs="Arial"/>
                <w:sz w:val="24"/>
                <w:szCs w:val="24"/>
              </w:rPr>
              <w:t>., гараж, ангар и т.д.)</w:t>
            </w: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449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626638" w:rsidRPr="00711449" w:rsidTr="00B93FEE"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711449" w:rsidTr="00B93FEE"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711449" w:rsidTr="00B93FEE"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711449" w:rsidTr="00B93FEE"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711449" w:rsidTr="00C101D2">
        <w:trPr>
          <w:trHeight w:val="266"/>
        </w:trPr>
        <w:tc>
          <w:tcPr>
            <w:tcW w:w="81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711449" w:rsidRDefault="00626638" w:rsidP="00711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626638" w:rsidRPr="00711449" w:rsidRDefault="00626638" w:rsidP="00711449">
      <w:pPr>
        <w:pStyle w:val="a3"/>
        <w:rPr>
          <w:rFonts w:ascii="Arial" w:hAnsi="Arial" w:cs="Arial"/>
          <w:sz w:val="24"/>
          <w:szCs w:val="24"/>
        </w:rPr>
      </w:pPr>
    </w:p>
    <w:p w:rsidR="007D09F9" w:rsidRPr="00711449" w:rsidRDefault="007D09F9" w:rsidP="007114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09F9" w:rsidRPr="00711449" w:rsidSect="00711449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C5"/>
    <w:multiLevelType w:val="multilevel"/>
    <w:tmpl w:val="6198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26638"/>
    <w:rsid w:val="0048048F"/>
    <w:rsid w:val="00626638"/>
    <w:rsid w:val="00711449"/>
    <w:rsid w:val="007D09F9"/>
    <w:rsid w:val="009F5C95"/>
    <w:rsid w:val="00C1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26638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266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ext3cl">
    <w:name w:val="text3cl"/>
    <w:basedOn w:val="a"/>
    <w:rsid w:val="0062663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626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1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2023-04-25T11:47:00Z</cp:lastPrinted>
  <dcterms:created xsi:type="dcterms:W3CDTF">2023-04-25T11:20:00Z</dcterms:created>
  <dcterms:modified xsi:type="dcterms:W3CDTF">2023-05-04T12:05:00Z</dcterms:modified>
</cp:coreProperties>
</file>